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12" w:rsidRDefault="003B3612" w:rsidP="003B3612">
      <w:pPr>
        <w:autoSpaceDE w:val="0"/>
        <w:autoSpaceDN w:val="0"/>
        <w:adjustRightInd w:val="0"/>
        <w:spacing w:after="0" w:line="240" w:lineRule="auto"/>
        <w:jc w:val="both"/>
        <w:rPr>
          <w:rFonts w:ascii="Arial" w:hAnsi="Arial" w:cs="Arial"/>
          <w:sz w:val="20"/>
          <w:szCs w:val="20"/>
        </w:rPr>
      </w:pPr>
    </w:p>
    <w:p w:rsidR="003B3612" w:rsidRDefault="003B3612" w:rsidP="003B3612">
      <w:pPr>
        <w:autoSpaceDE w:val="0"/>
        <w:autoSpaceDN w:val="0"/>
        <w:adjustRightInd w:val="0"/>
        <w:spacing w:after="0" w:line="240" w:lineRule="auto"/>
        <w:rPr>
          <w:rFonts w:ascii="Arial" w:hAnsi="Arial" w:cs="Arial"/>
          <w:sz w:val="24"/>
          <w:szCs w:val="24"/>
        </w:rPr>
      </w:pPr>
    </w:p>
    <w:tbl>
      <w:tblPr>
        <w:tblW w:w="5000" w:type="pct"/>
        <w:tblInd w:w="180" w:type="dxa"/>
        <w:tblLayout w:type="fixed"/>
        <w:tblCellMar>
          <w:top w:w="180" w:type="dxa"/>
          <w:left w:w="180" w:type="dxa"/>
          <w:bottom w:w="180" w:type="dxa"/>
          <w:right w:w="180" w:type="dxa"/>
        </w:tblCellMar>
        <w:tblLook w:val="0000"/>
      </w:tblPr>
      <w:tblGrid>
        <w:gridCol w:w="559"/>
        <w:gridCol w:w="10008"/>
      </w:tblGrid>
      <w:tr w:rsidR="003B3612">
        <w:tc>
          <w:tcPr>
            <w:tcW w:w="540" w:type="dxa"/>
            <w:vAlign w:val="center"/>
          </w:tcPr>
          <w:p w:rsidR="003B3612" w:rsidRDefault="003B3612">
            <w:pPr>
              <w:autoSpaceDE w:val="0"/>
              <w:autoSpaceDN w:val="0"/>
              <w:adjustRightInd w:val="0"/>
              <w:spacing w:after="0" w:line="240" w:lineRule="auto"/>
              <w:jc w:val="both"/>
              <w:rPr>
                <w:rFonts w:ascii="Arial" w:hAnsi="Arial" w:cs="Arial"/>
                <w:color w:val="FFFCE1"/>
                <w:sz w:val="20"/>
                <w:szCs w:val="20"/>
              </w:rPr>
            </w:pPr>
            <w:r>
              <w:rPr>
                <w:rFonts w:ascii="Arial" w:hAnsi="Arial" w:cs="Arial"/>
                <w:noProof/>
                <w:color w:val="FFFCE1"/>
                <w:position w:val="-1"/>
                <w:sz w:val="20"/>
                <w:szCs w:val="20"/>
                <w:lang w:eastAsia="ru-RU"/>
              </w:rPr>
              <w:drawing>
                <wp:inline distT="0" distB="0" distL="0" distR="0">
                  <wp:extent cx="116840" cy="146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840" cy="146050"/>
                          </a:xfrm>
                          <a:prstGeom prst="rect">
                            <a:avLst/>
                          </a:prstGeom>
                          <a:noFill/>
                          <a:ln>
                            <a:noFill/>
                          </a:ln>
                        </pic:spPr>
                      </pic:pic>
                    </a:graphicData>
                  </a:graphic>
                </wp:inline>
              </w:drawing>
            </w:r>
          </w:p>
        </w:tc>
        <w:tc>
          <w:tcPr>
            <w:tcW w:w="9667" w:type="dxa"/>
          </w:tcPr>
          <w:p w:rsidR="003B3612" w:rsidRDefault="003B361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Федеральный </w:t>
            </w:r>
            <w:hyperlink r:id="rId5" w:history="1">
              <w:r>
                <w:rPr>
                  <w:rFonts w:ascii="Arial" w:hAnsi="Arial" w:cs="Arial"/>
                  <w:color w:val="0000FF"/>
                  <w:sz w:val="16"/>
                  <w:szCs w:val="16"/>
                </w:rPr>
                <w:t>закон</w:t>
              </w:r>
            </w:hyperlink>
            <w:r>
              <w:rPr>
                <w:rFonts w:ascii="Arial" w:hAnsi="Arial" w:cs="Arial"/>
                <w:sz w:val="16"/>
                <w:szCs w:val="16"/>
              </w:rPr>
              <w:t xml:space="preserve"> от 27.10.2020 N 352-ФЗ</w:t>
            </w:r>
            <w:r>
              <w:rPr>
                <w:rFonts w:ascii="Arial" w:hAnsi="Arial" w:cs="Arial"/>
                <w:sz w:val="16"/>
                <w:szCs w:val="16"/>
              </w:rPr>
              <w:br/>
              <w:t>"О внесении изменений в Уголовный кодекс Российской Федерации и статью 151 Уголовно-процессуального кодекса Российской Федерации"</w:t>
            </w:r>
          </w:p>
        </w:tc>
      </w:tr>
    </w:tbl>
    <w:p w:rsidR="003B3612" w:rsidRDefault="003B3612" w:rsidP="003B3612">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Деяние наказывается штрафом в размере до четырехсот тысяч рублей, или в размере заработной платы </w:t>
      </w:r>
      <w:proofErr w:type="gramStart"/>
      <w:r>
        <w:rPr>
          <w:rFonts w:ascii="Arial" w:hAnsi="Arial" w:cs="Arial"/>
          <w:sz w:val="20"/>
          <w:szCs w:val="20"/>
        </w:rPr>
        <w:t>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roofErr w:type="gramEnd"/>
    </w:p>
    <w:p w:rsidR="003B3612" w:rsidRDefault="003B3612" w:rsidP="003B3612">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Также предусмотрено наказание в случае, если деяние совершено в значительном размере, группой лиц по предварительному сговору или организованной группой, за заведомо незаконные действия (бездействие), в крупном и особо крупном размерах.</w:t>
      </w:r>
    </w:p>
    <w:p w:rsidR="003B3612" w:rsidRDefault="003B3612" w:rsidP="003B3612">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Определены основания освобождения лица, совершившего преступление, от уголовной ответственности.</w:t>
      </w:r>
    </w:p>
    <w:p w:rsidR="003B3612" w:rsidRDefault="003B3612" w:rsidP="003B3612">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Кроме того, предусмотрена уголовная ответственность за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а также за совершение данного преступления в значительном размере, группой лиц по предварительному сговору или организованной группой, либо если оно сопряжено с вымогательством предмета подкупа, совершено за незаконные действия (бездействие), либо в крупном, особо крупном размере (максимальное наказание - лишение свободы на срок от семи до двенадцати лет со штрафом в размере до пятидесятикратной суммы подкупа).</w:t>
      </w:r>
    </w:p>
    <w:p w:rsidR="003B3612" w:rsidRDefault="003B3612" w:rsidP="003B3612">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Предварительное следствие по указанным преступлениям осуществляется следователями Следственного комитета РФ.</w:t>
      </w:r>
    </w:p>
    <w:p w:rsidR="00C12278" w:rsidRDefault="00C12278"/>
    <w:p w:rsidR="00797EA5" w:rsidRDefault="00797EA5">
      <w:r>
        <w:t>01.12.2020</w:t>
      </w:r>
    </w:p>
    <w:sectPr w:rsidR="00797EA5" w:rsidSect="00BB1D8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B3612"/>
    <w:rsid w:val="0000368C"/>
    <w:rsid w:val="003B3612"/>
    <w:rsid w:val="004E40E2"/>
    <w:rsid w:val="00797EA5"/>
    <w:rsid w:val="007B63CF"/>
    <w:rsid w:val="00C12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0B4E719BF83FCE32D7E029AF6011CC4EAE88830027E550CC2B1BBED75B1214C135AF69F74A8DC37B879D523D0n0P7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Ирина Игоревна</dc:creator>
  <cp:keywords/>
  <dc:description/>
  <cp:lastModifiedBy>balandina-mv</cp:lastModifiedBy>
  <cp:revision>2</cp:revision>
  <dcterms:created xsi:type="dcterms:W3CDTF">2020-11-26T11:15:00Z</dcterms:created>
  <dcterms:modified xsi:type="dcterms:W3CDTF">2020-12-01T11:15:00Z</dcterms:modified>
</cp:coreProperties>
</file>