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 xml:space="preserve">в 2021 году (за отчетный 2020 год)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 xml:space="preserve">и заполнения соответствующей формы справки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для применения в ходе декларационной кампании 2021 года (за отчетный 2020 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 xml:space="preserve">и иных заинтересованных федеральных государственных органов.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использования в работе указанных Методических рекомендаций предлагаем обратить внимание на следующее.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обновлены с учетом положений Указа Президента Российской Федерации от 15 января 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подпункте 3 пункта 60 Методических рекомендаций отмечено, </w:t>
        <w:br/>
        <w:t xml:space="preserve">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Подпункт 9 пункта 60 Методических рекомендаций дополнен ситуацией продажи имущества, находящегося в долевой собственности.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  <w:br/>
        <w:t xml:space="preserve">с распространением новой коронавирусной инфекции.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Пункты 69 и 72 Методических рекомендаций дополнены ситуациями, при которых сведения о расходах не отражаются.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пункте 119 Методических рекомендациях указано, что Банком России издано Указание от 15 апреля 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5440-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У. Полагаем целесообразным ориентировать на получение информации  для целей представления сведений </w:t>
        <w:br/>
        <w:t xml:space="preserve">в соответствии с данным Указанием Банка России.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</w:t>
        <w:br/>
        <w:t xml:space="preserve">от 10 декабря 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778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 по реализации отдельных положений Федерального закона "О цифровых финансовых активах, цифровой валюте </w:t>
        <w:br/>
        <w:t xml:space="preserve">и о внесении изменений в отдельные законодательные акты Российской Федерации".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 Методических рекомендаций в целом актуализированы </w:t>
        <w:br/>
        <w:t xml:space="preserve">с учетом изменений нормативных правовых актов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