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Приложение 1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 распоряжению исполнительного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директора Ассоциации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территориальных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общественных самоуправлений Челябинской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.02.202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года №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«О проведении регионал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ьного этапа Всероссийского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конкурса «Лучшая практика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территориального общественного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самоуправления»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Положение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о проведении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регионального этапа Всероссийского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конкурса «Лучшая практика территориального общественного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самоуправления»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361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1.1. Настоящее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определяет порядок организации, проведения и подведения итогов регионального этапа Всероссийского конкурса «Лучшая практика территориального общественного самоуправления» (далее – Конкурс).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Конкурс проводится Ассоци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ацией территориальных общественных самоуправлений Челябинской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территории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целью стимулирования деловой и социальной активности населения при осуществлении собственных инициатив по решению вопросов местного значения на территории региона и поощрения активных руководителей и членов территориальных общественных самоуправлений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1.2. Основные задачи Конкурса: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</w:tabs>
        <w:spacing w:line="240" w:lineRule="auto"/>
        <w:ind w:left="1" w:hanging="3"/>
        <w:jc w:val="both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выявление и поощрение активных руководителей и членов территориального общественного самоуправления (далее – ТОС) на территории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5"/>
        </w:tabs>
        <w:spacing w:line="240" w:lineRule="auto"/>
        <w:ind w:left="1" w:hanging="3"/>
        <w:jc w:val="both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положительного образа инициативного гражданина, побуждающего собственным примером других людей к социально значимой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</w:tabs>
        <w:spacing w:line="240" w:lineRule="auto"/>
        <w:ind w:left="1" w:hanging="3"/>
        <w:jc w:val="both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освещение деятельности органов ТОС в средствах массовой информации с целью распространения передового опыта ТОС;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</w:tabs>
        <w:spacing w:line="240" w:lineRule="auto"/>
        <w:ind w:left="1" w:hanging="3"/>
        <w:jc w:val="both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раскрытие творческого потенциала руководителей и членов органов территориального общественного самоуправления;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</w:tabs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совершенствование механизма поддержки инициатив граждан по вопросам местного значения и поощрения ТОС.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при поддержке Управления по внутренней политике Правительства Челябинской области, Совета муниципальных образований Челябинской области.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Порядок проведения Конкурса и условия участия в номинациях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Конкурс проводится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года 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среди ТОС, которые зарегистрированы на территории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2.2. Участники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7 марта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(включительно) направляют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atos-74@bk.ru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конкурсные материалы: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 заявку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электронном виде) согласно приложению №1 к настоящему Положению;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60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 презентацию (не обязательно)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формате Microsoft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Power Point (.ppt или .pptx), объемом не более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слайдов.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Конкурсные материалы, поступившие по истечении указанного срока, конкурсной комиссией не рассматриваются.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Конкурсная комиссия рассматривает заявки, в которых представлена деятельность активистов ТОС за 2022 год.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5" w:hanging="2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2.4.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Конкурс проводится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номинациям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Благоустройство и экология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(практики (проекты) по организации и проведению благоустройства дворовой территории, общественных пространств (парков, скверов, объектов культурного наследия местного значения), организация и проведение субботников, акций по уборке мусора и сбора макулатуры, пластика, металлолома и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Формирование здорового образа жизни, физическая культура и спорт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(практики (проекты) по организации и проведению спортивных мероприятий, соревнований, марафонов, организация спортивных дворовых секций);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Местные художественные промыслы, культурные инициативы, развитие туризма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(практики (проекты) по организации и проведению культурных мероприятий, приуроченных к празднованию государственных праздников, памятным датам, организация гостевых домов, местных музеев, организация ремесленных мастерских, творческих досуговых клубов и студий);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Социальная поддержка населения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(практики (проекты) по организации поддержки многодетных семей, малообеспеченных и социально незащищённых граждан, адресная поддержка указанных категорий граждан, организация ФАПов, социальных пекарен, социальной телефонной службы и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Комплексное развитие территорий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(практики (проекты) направленные на решение вопросов в нескольких направлениях деятельности, проекты, включающие мероприятия, реализованные в нескольких номинациях);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Межпоколенческие связи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(практики (проекты) по организации передачи опыта одного поколения и принятию этого опыта другим поколением, мероприятия, направленные на сохранение и укрепление традиционных ценностей);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Укрепляем мир общинами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(практики (проекты) по организации и проведению мероприятий приуроченных к международному Дню соседей, установление и развитие контактов с местными сообществами из зарубежных стран, реализация и участие в международных проектах и программах);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Лучший руководитель ТОС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(руководители ТОC), осуществляющие социальную деятельность на территории ТОС.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25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2.5. Оценка заявок осуществляется по 5-и бальной системе в соответствии со следующими критериями:</w:t>
      </w:r>
    </w:p>
    <w:tbl>
      <w:tblPr>
        <w:tblStyle w:val="Table1"/>
        <w:tblW w:w="9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3"/>
        <w:gridCol w:w="8947"/>
        <w:tblGridChange w:id="0">
          <w:tblGrid>
            <w:gridCol w:w="883"/>
            <w:gridCol w:w="8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критерия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Для номинаций, указанных в пункта 2.4.1.-2.4.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. настоящего Положения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Доля жителей, вовлеченных в деятельность ТОС при реализации практики (проекта).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Количество человек, проживающих в границах ТОС, которые пользуются результатами проекта (благополучатели).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Количество реализованных практик (проектов) и инициатив ТОС за предыдущие годы.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Обоснованность и актуальность проблемы, на решение которой направлен проект.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Финансовая эффективность проекта (доля привлеченных средств и результаты реализованной практики (проекта) на одного члена ТОС.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Привлечение внебюджетных средств на осуществление практики (проекта) ТОС, объемы привлеченного внебюджетного финансирования на одного члена ТОС.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Использование механизмов волонтерства (привлечение жителей территории, на которой осуществляется проект, к выполнению определенного перечня работ на безвозмездной основе).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Количество проведенных собраний (советов, конференций, заседаний органов ТОС),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регламентирующих деятельность в рамках реализации практики (проекта).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Осуществление деятельности ТОС по сохранению исторического и культурного наследия, народных традиций, развитию туризма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Ремонт/восстановление памятников и обелисков, прилегающих к ним территорий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добровольных дружин и поисковых отрядов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социальной рекламы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Дополнительно для номинации «Лучший руководитель ТОС»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Участие руководителя ТОС в конференциях, заседаниях, семинарах, круглых столах, проводимых органами местного самоуправления.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Наличие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Количество проведенных заседаний Совета (Комитета) ТОС, собраний, конференций участников ТОС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год.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Реализованные предложения, внесенные органами ТОС в органы местного самоуправления муниципального образования.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Награды, полученные за вклад в развитие движения ТОС (грамоты и благодарственные письма всех уровней власти).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Партнерство и взаимодействие ТОС с субъектами МСП, НКО, управляющими компаниями.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Участие ТОС в проектной деятельности.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Работа со средствами массовой информации: наличие статей, публикаций о деятельности ТОС.</w:t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Участники конкурса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В конкурсе участвуют представители органов ТОС Челябинской области, члены Общенациональной ассоциации ТОС, (члены региональных ассоциаций, координаторов ТОС), соответствующие всем следующим требованиям: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3.1.1. Зарегистрированные на территории Челябинской области не позднее, чем за один год до дня окончания приема заявок на участие в конкурсе.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3.1.2. Не имеющие задолженности по уплате членских взносов в ОАТОС (или ассоциацию ТОС субъекта Российской Федерации).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3.1.3.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законодательством.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3.1.4. ТОС должен быть создан в соответствии с Федеральным законом от 06.10.2003г. № 131-ФЗ «Об общих принципах организации местного самоуправления в Российской Федерации».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3.1.5. 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направлениям конкурса.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25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Конкурсная комиссия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4.1. Организацию, проведение и подведение итогов Конкурса осуществляет конкурсная комиссия, состав которой утверждается распоряжением исполнительного директора Ассоциации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территориальных общественных самоуправлений Челябинской области.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4.2. Конкурсная комиссия состоит из 5 членов, включая председателя конкурсной комиссии (Приложение № 2 к распоряжению исполнительного директора).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4.3. Заседание конкурсной комиссии проводит председатель конкурсной комиссии.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4.4. Конкурсная комиссия проводит: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0"/>
        </w:tabs>
        <w:spacing w:line="240" w:lineRule="auto"/>
        <w:ind w:left="1" w:hanging="3"/>
        <w:jc w:val="both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прием и рассмотрение конкурсных материалов от участников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0"/>
        </w:tabs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оценку конкурсных материалов, представленных на Конкурс по критериям, указанных в п. 2.5. настоящего Положения;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0"/>
        </w:tabs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ие итогов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Конкурсная комиссия имеет право запрашивать от участников Конкурса дополнительную информацию в целях уточнения полученных от них сведени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й, содержащихся в конкурсных материалах.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Подведение итогов Конкурса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 Итоги Конкурса подводятся конкурсной комиссией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марта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(включительно).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Решение конкурсной комиссии об определении победителей в номинации Конкурса принимается простым большинством голосов присутствующих на заседании членов конкурсной комиссии.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5.3. Победители Конкурса награждаются дипломами и (или) ценными подарками.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0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5.4. Количество призовых мест в каждой номинации определяется конкурсной комиссией на итоговом заседании.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0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0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0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6.1. Любые вопросы, касающиеся условий проведений Конкурса, конкурсной документации, технических требований к работе участника и другие, могут направляться участниками Конкурса в Ассоциацию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территориальных общественных самоуправлений Челябинской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 адресу: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ул.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Сони Кривой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д.75, оф. 108 (контактный номер телефона – 8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908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-72, а также по электронному адресу: atos-74@bk.ru).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0" w:orient="portrait"/>
      <w:pgMar w:bottom="1560" w:top="1123" w:left="1440" w:right="84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141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7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1" w:hanging="360"/>
      </w:pPr>
      <w:rPr>
        <w:b w:val="1"/>
      </w:rPr>
    </w:lvl>
    <w:lvl w:ilvl="1">
      <w:start w:val="3"/>
      <w:numFmt w:val="decimal"/>
      <w:lvlText w:val="%1.%2."/>
      <w:lvlJc w:val="left"/>
      <w:pPr>
        <w:ind w:left="526" w:hanging="525"/>
      </w:pPr>
      <w:rPr/>
    </w:lvl>
    <w:lvl w:ilvl="2">
      <w:start w:val="1"/>
      <w:numFmt w:val="decimal"/>
      <w:lvlText w:val="%1.%2.%3."/>
      <w:lvlJc w:val="left"/>
      <w:pPr>
        <w:ind w:left="721" w:hanging="720"/>
      </w:pPr>
      <w:rPr/>
    </w:lvl>
    <w:lvl w:ilvl="3">
      <w:start w:val="1"/>
      <w:numFmt w:val="decimal"/>
      <w:lvlText w:val="%1.%2.%3.%4."/>
      <w:lvlJc w:val="left"/>
      <w:pPr>
        <w:ind w:left="721" w:hanging="720"/>
      </w:pPr>
      <w:rPr/>
    </w:lvl>
    <w:lvl w:ilvl="4">
      <w:start w:val="1"/>
      <w:numFmt w:val="decimal"/>
      <w:lvlText w:val="%1.%2.%3.%4.%5."/>
      <w:lvlJc w:val="left"/>
      <w:pPr>
        <w:ind w:left="1081" w:hanging="1080"/>
      </w:pPr>
      <w:rPr/>
    </w:lvl>
    <w:lvl w:ilvl="5">
      <w:start w:val="1"/>
      <w:numFmt w:val="decimal"/>
      <w:lvlText w:val="%1.%2.%3.%4.%5.%6."/>
      <w:lvlJc w:val="left"/>
      <w:pPr>
        <w:ind w:left="1081" w:hanging="1080"/>
      </w:pPr>
      <w:rPr/>
    </w:lvl>
    <w:lvl w:ilvl="6">
      <w:start w:val="1"/>
      <w:numFmt w:val="decimal"/>
      <w:lvlText w:val="%1.%2.%3.%4.%5.%6.%7."/>
      <w:lvlJc w:val="left"/>
      <w:pPr>
        <w:ind w:left="1441" w:hanging="1440"/>
      </w:pPr>
      <w:rPr/>
    </w:lvl>
    <w:lvl w:ilvl="7">
      <w:start w:val="1"/>
      <w:numFmt w:val="decimal"/>
      <w:lvlText w:val="%1.%2.%3.%4.%5.%6.%7.%8."/>
      <w:lvlJc w:val="left"/>
      <w:pPr>
        <w:ind w:left="1441" w:hanging="1440"/>
      </w:pPr>
      <w:rPr/>
    </w:lvl>
    <w:lvl w:ilvl="8">
      <w:start w:val="1"/>
      <w:numFmt w:val="decimal"/>
      <w:lvlText w:val="%1.%2.%3.%4.%5.%6.%7.%8.%9."/>
      <w:lvlJc w:val="left"/>
      <w:pPr>
        <w:ind w:left="1801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17F7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 w:val="1"/>
    <w:rsid w:val="00917F78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rsid w:val="00917F7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rsid w:val="00917F7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rsid w:val="00917F7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rsid w:val="00917F7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rsid w:val="00917F78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17F7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rsid w:val="00917F7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next w:val="TableNormal"/>
    <w:rsid w:val="00917F7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Название1"/>
    <w:basedOn w:val="a"/>
    <w:next w:val="a"/>
    <w:rsid w:val="00917F7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rsid w:val="00917F7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rsid w:val="00917F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rsid w:val="00917F78"/>
    <w:tblPr>
      <w:tblStyleRowBandSize w:val="1"/>
      <w:tblStyleColBandSize w:val="1"/>
    </w:tblPr>
  </w:style>
  <w:style w:type="table" w:styleId="af" w:customStyle="1">
    <w:basedOn w:val="TableNormal0"/>
    <w:rsid w:val="00917F78"/>
    <w:tblPr>
      <w:tblStyleRowBandSize w:val="1"/>
      <w:tblStyleColBandSize w:val="1"/>
    </w:tblPr>
  </w:style>
  <w:style w:type="paragraph" w:styleId="af0">
    <w:name w:val="List Paragraph"/>
    <w:basedOn w:val="a"/>
    <w:rsid w:val="00917F78"/>
    <w:pPr>
      <w:ind w:left="720"/>
      <w:contextualSpacing w:val="1"/>
    </w:pPr>
  </w:style>
  <w:style w:type="character" w:styleId="af1">
    <w:name w:val="Hyperlink"/>
    <w:qFormat w:val="1"/>
    <w:rsid w:val="00917F7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 w:customStyle="1">
    <w:name w:val="Абзац списка Знак"/>
    <w:rsid w:val="00917F78"/>
    <w:rPr>
      <w:w w:val="100"/>
      <w:position w:val="-1"/>
      <w:effect w:val="none"/>
      <w:vertAlign w:val="baseline"/>
      <w:cs w:val="0"/>
      <w:em w:val="none"/>
    </w:rPr>
  </w:style>
  <w:style w:type="table" w:styleId="af3">
    <w:name w:val="Table Grid"/>
    <w:basedOn w:val="a1"/>
    <w:rsid w:val="00917F7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4">
    <w:name w:val="Balloon Text"/>
    <w:basedOn w:val="a"/>
    <w:qFormat w:val="1"/>
    <w:rsid w:val="00917F78"/>
    <w:rPr>
      <w:rFonts w:ascii="Segoe UI" w:cs="Segoe UI" w:hAnsi="Segoe UI"/>
      <w:sz w:val="18"/>
      <w:szCs w:val="18"/>
    </w:rPr>
  </w:style>
  <w:style w:type="character" w:styleId="af5" w:customStyle="1">
    <w:name w:val="Текст выноски Знак"/>
    <w:rsid w:val="00917F78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f6" w:customStyle="1">
    <w:basedOn w:val="TableNormal0"/>
    <w:rsid w:val="00917F7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rsid w:val="00917F7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rsid w:val="00917F78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BlLaMhUhEZ8Q+YtrlRGRjdMwJw==">AMUW2mXdPfC4ubbEpL+BeVMUcPcPC8EAyjFYnrQjd2zXmFoPumDeIPjf3u5NqFTqDGnAvzmEpe3faFPooz0FF92K9bM6VDkksYBmMaoECm3bTaTpSaUV5HmvND/6Bk5CQv6jUsspn5zm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2022-01-17T12:03:00Z</dcterms:created>
  <dc:creator>Big_Boss</dc:creator>
</cp:coreProperties>
</file>