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D8" w:rsidRDefault="007331D8" w:rsidP="007331D8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5D58C1" w:rsidRDefault="005D58C1" w:rsidP="007331D8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3212B0" w:rsidRPr="003408A3" w:rsidRDefault="003212B0" w:rsidP="003212B0">
      <w:pPr>
        <w:jc w:val="right"/>
        <w:rPr>
          <w:rFonts w:ascii="Arial" w:hAnsi="Arial" w:cs="Arial"/>
        </w:rPr>
      </w:pPr>
      <w:r w:rsidRPr="003408A3">
        <w:rPr>
          <w:rFonts w:ascii="Arial" w:hAnsi="Arial" w:cs="Arial"/>
        </w:rPr>
        <w:t>ПРИЛОЖЕНИЕ</w:t>
      </w:r>
    </w:p>
    <w:p w:rsidR="003212B0" w:rsidRPr="00A91D08" w:rsidRDefault="003212B0" w:rsidP="003212B0">
      <w:pPr>
        <w:jc w:val="right"/>
        <w:rPr>
          <w:sz w:val="24"/>
          <w:szCs w:val="24"/>
        </w:rPr>
      </w:pPr>
      <w:r w:rsidRPr="00A91D08">
        <w:rPr>
          <w:sz w:val="24"/>
          <w:szCs w:val="24"/>
        </w:rPr>
        <w:t xml:space="preserve">к решению Совета депутатов </w:t>
      </w:r>
    </w:p>
    <w:p w:rsidR="003212B0" w:rsidRPr="00A91D08" w:rsidRDefault="003212B0" w:rsidP="003212B0">
      <w:pPr>
        <w:jc w:val="right"/>
        <w:rPr>
          <w:sz w:val="24"/>
          <w:szCs w:val="24"/>
        </w:rPr>
      </w:pPr>
      <w:r w:rsidRPr="00A91D08">
        <w:rPr>
          <w:sz w:val="24"/>
          <w:szCs w:val="24"/>
        </w:rPr>
        <w:t xml:space="preserve">Советского района </w:t>
      </w:r>
    </w:p>
    <w:p w:rsidR="003212B0" w:rsidRPr="003408A3" w:rsidRDefault="003212B0" w:rsidP="003212B0">
      <w:pPr>
        <w:jc w:val="right"/>
        <w:rPr>
          <w:sz w:val="28"/>
          <w:szCs w:val="28"/>
        </w:rPr>
      </w:pPr>
      <w:r w:rsidRPr="003408A3">
        <w:rPr>
          <w:rFonts w:ascii="Arial" w:hAnsi="Arial" w:cs="Arial"/>
        </w:rPr>
        <w:t>от</w:t>
      </w:r>
      <w:r w:rsidRPr="00A91D08">
        <w:rPr>
          <w:sz w:val="24"/>
          <w:szCs w:val="24"/>
        </w:rPr>
        <w:t xml:space="preserve"> </w:t>
      </w:r>
      <w:r w:rsidRPr="003408A3">
        <w:rPr>
          <w:b/>
          <w:bCs/>
          <w:i/>
          <w:iCs/>
          <w:sz w:val="28"/>
          <w:szCs w:val="28"/>
          <w:u w:val="single"/>
        </w:rPr>
        <w:t>30.11.2016</w:t>
      </w:r>
      <w:r w:rsidRPr="00A91D08">
        <w:rPr>
          <w:sz w:val="24"/>
          <w:szCs w:val="24"/>
        </w:rPr>
        <w:t xml:space="preserve"> </w:t>
      </w:r>
      <w:r w:rsidRPr="003408A3">
        <w:rPr>
          <w:rFonts w:ascii="Arial" w:hAnsi="Arial" w:cs="Arial"/>
        </w:rPr>
        <w:t>№</w:t>
      </w:r>
      <w:r w:rsidRPr="00A91D08">
        <w:rPr>
          <w:sz w:val="24"/>
          <w:szCs w:val="24"/>
        </w:rPr>
        <w:t xml:space="preserve"> </w:t>
      </w:r>
      <w:r w:rsidRPr="003408A3">
        <w:rPr>
          <w:b/>
          <w:bCs/>
          <w:i/>
          <w:iCs/>
          <w:sz w:val="28"/>
          <w:szCs w:val="28"/>
          <w:u w:val="single"/>
        </w:rPr>
        <w:t>27/2</w:t>
      </w:r>
    </w:p>
    <w:p w:rsidR="003212B0" w:rsidRDefault="003212B0" w:rsidP="003212B0">
      <w:pPr>
        <w:widowControl w:val="0"/>
        <w:autoSpaceDE w:val="0"/>
        <w:autoSpaceDN w:val="0"/>
        <w:adjustRightInd w:val="0"/>
        <w:rPr>
          <w:b/>
          <w:sz w:val="24"/>
        </w:rPr>
      </w:pPr>
    </w:p>
    <w:p w:rsidR="003212B0" w:rsidRDefault="003212B0" w:rsidP="007331D8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7331D8" w:rsidRDefault="007331D8" w:rsidP="004E4F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</w:rPr>
      </w:pPr>
      <w:r w:rsidRPr="007331D8">
        <w:rPr>
          <w:b/>
          <w:sz w:val="24"/>
        </w:rPr>
        <w:t>Отчет администрации  Советского района</w:t>
      </w:r>
    </w:p>
    <w:p w:rsidR="007331D8" w:rsidRPr="007331D8" w:rsidRDefault="007331D8" w:rsidP="004E4F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</w:rPr>
      </w:pPr>
      <w:r w:rsidRPr="007331D8">
        <w:rPr>
          <w:b/>
          <w:sz w:val="24"/>
        </w:rPr>
        <w:t>«О реализации районных программ</w:t>
      </w:r>
      <w:r>
        <w:rPr>
          <w:b/>
          <w:sz w:val="24"/>
        </w:rPr>
        <w:t xml:space="preserve">  </w:t>
      </w:r>
      <w:r w:rsidRPr="007331D8">
        <w:rPr>
          <w:b/>
          <w:sz w:val="24"/>
        </w:rPr>
        <w:t>по благоустройству в 2016 году»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Благоустройство территории города является одной из жизнеобеспечивающих сфер городского хозяйства, оказывающих непосредственное влияние на качество и уровень жизни населения.</w:t>
      </w:r>
    </w:p>
    <w:p w:rsidR="005E1D6E" w:rsidRPr="003212B0" w:rsidRDefault="005E1D6E" w:rsidP="004E4F04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3212B0">
        <w:rPr>
          <w:rFonts w:ascii="Times New Roman" w:hAnsi="Times New Roman" w:cs="Times New Roman"/>
          <w:sz w:val="24"/>
          <w:szCs w:val="24"/>
        </w:rPr>
        <w:tab/>
        <w:t xml:space="preserve">С целью создания благоприятных условий для проживания граждан и приведения территории района в надлежащее санитарное состояние в период с января по ноябрь 2016 года администрацией района были заключены муниципальные контракты и проведены работы по благоустройству территории района, как за счет собственных средств, так и средств, выделенных из областного бюджета. </w:t>
      </w:r>
    </w:p>
    <w:p w:rsidR="005E1D6E" w:rsidRPr="003212B0" w:rsidRDefault="005E1D6E" w:rsidP="004E4F04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3212B0">
        <w:rPr>
          <w:rFonts w:ascii="Times New Roman" w:hAnsi="Times New Roman" w:cs="Times New Roman"/>
          <w:sz w:val="24"/>
          <w:szCs w:val="24"/>
        </w:rPr>
        <w:tab/>
        <w:t xml:space="preserve">Всего на благоустройство территории Советского района было выделено 50 млн. руб. из </w:t>
      </w:r>
      <w:proofErr w:type="gramStart"/>
      <w:r w:rsidRPr="003212B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212B0">
        <w:rPr>
          <w:rFonts w:ascii="Times New Roman" w:hAnsi="Times New Roman" w:cs="Times New Roman"/>
          <w:sz w:val="24"/>
          <w:szCs w:val="24"/>
        </w:rPr>
        <w:t>: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- 30 млн. руб. средства из областного бюджета;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- 13 млн. руб. дотация из бюджета города (выделенная на содержание объектов благоустройства переданных из городского хозяйства);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- 7 млн. руб. средства бюджета района. 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При планировании распределения бюджетных и дотационных средств, в размере 20 млн. руб., приоритетными направлениями деятельности стали, следующие виды работ: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1) обслуживание Декоративного гидротехнического сооружения на площади Революции города Челябинска – фонтан: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- </w:t>
      </w:r>
      <w:proofErr w:type="spellStart"/>
      <w:r w:rsidRPr="003212B0">
        <w:rPr>
          <w:sz w:val="24"/>
          <w:szCs w:val="24"/>
        </w:rPr>
        <w:t>расконсервация</w:t>
      </w:r>
      <w:proofErr w:type="spellEnd"/>
      <w:r w:rsidRPr="003212B0">
        <w:rPr>
          <w:sz w:val="24"/>
          <w:szCs w:val="24"/>
        </w:rPr>
        <w:t>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монтаж;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демонтаж и консервация данного сооружения;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перевозка фонтанного оборудования до места хранения, складирование в месте хранения с проведением необходимых мероприятий, обеспечивающих сохранность оборудования;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 2) содержание территории скверов – на площади Революции; у Челябинского Государственного Академического театра драмы имени Наума Орлова; у Муниципального автономного учреждения Челябинский центр искусств «Театр + Кино»; у кинотеатра имени А.С. Пушкина включающее в себя комплекс мероприятий: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устройство, уход и содержание цветников в скверах;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уход, формовочная обрезка и содержание зеленых насаждений на территории скверов;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санитарная очистка территории сквера;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механизированная и ручная уборка территории скверов;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- кошение газонной части и </w:t>
      </w:r>
      <w:proofErr w:type="gramStart"/>
      <w:r w:rsidRPr="003212B0">
        <w:rPr>
          <w:sz w:val="24"/>
          <w:szCs w:val="24"/>
        </w:rPr>
        <w:t>уход</w:t>
      </w:r>
      <w:proofErr w:type="gramEnd"/>
      <w:r w:rsidRPr="003212B0">
        <w:rPr>
          <w:sz w:val="24"/>
          <w:szCs w:val="24"/>
        </w:rPr>
        <w:t xml:space="preserve"> и содержание газонной части в скверах;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содержание, хранение и уход за объектами, расположенными в пределах территории скверов;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3) устройство, содержание и уход за цветниками, расположенными на территории района, оформлено 17 цветников и клумб, с разнообразным цветочным и </w:t>
      </w:r>
      <w:proofErr w:type="spellStart"/>
      <w:r w:rsidRPr="003212B0">
        <w:rPr>
          <w:sz w:val="24"/>
          <w:szCs w:val="24"/>
        </w:rPr>
        <w:t>копозиционным</w:t>
      </w:r>
      <w:proofErr w:type="spellEnd"/>
      <w:r w:rsidRPr="003212B0">
        <w:rPr>
          <w:sz w:val="24"/>
          <w:szCs w:val="24"/>
        </w:rPr>
        <w:t xml:space="preserve"> решением; 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4) ремонт асфальтового покрытия </w:t>
      </w:r>
      <w:proofErr w:type="spellStart"/>
      <w:r w:rsidRPr="003212B0">
        <w:rPr>
          <w:sz w:val="24"/>
          <w:szCs w:val="24"/>
        </w:rPr>
        <w:t>внутридворовых</w:t>
      </w:r>
      <w:proofErr w:type="spellEnd"/>
      <w:r w:rsidRPr="003212B0">
        <w:rPr>
          <w:sz w:val="24"/>
          <w:szCs w:val="24"/>
        </w:rPr>
        <w:t xml:space="preserve"> проездов и тротуаров;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5) </w:t>
      </w:r>
      <w:proofErr w:type="spellStart"/>
      <w:r w:rsidRPr="003212B0">
        <w:rPr>
          <w:sz w:val="24"/>
          <w:szCs w:val="24"/>
        </w:rPr>
        <w:t>грейдирование</w:t>
      </w:r>
      <w:proofErr w:type="spellEnd"/>
      <w:r w:rsidRPr="003212B0">
        <w:rPr>
          <w:sz w:val="24"/>
          <w:szCs w:val="24"/>
        </w:rPr>
        <w:t xml:space="preserve"> улиц частного сектора с грунтовым покрытием;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6) омолаживающая обрезка деревьев.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</w:p>
    <w:p w:rsidR="005E1D6E" w:rsidRPr="003212B0" w:rsidRDefault="005E1D6E" w:rsidP="004E4F04">
      <w:pPr>
        <w:shd w:val="clear" w:color="auto" w:fill="FFFFFF"/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Для исполнения перечисленных направлений в сфере благоустройства администрацией района была подготовлена техническая документация и проведены процедуры электронных торгов по итогам, которых выявлены победители аукционов. Из средств бюджета района 20 млн. руб. заключены муниципальные контракты на следующие виды работ:</w:t>
      </w:r>
    </w:p>
    <w:p w:rsidR="005E1D6E" w:rsidRPr="003212B0" w:rsidRDefault="005E1D6E" w:rsidP="004E4F04">
      <w:pPr>
        <w:pStyle w:val="a6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благоустройство территории Советского района (содержание скверов и фонтана) общей площадью свыше 250 тыс. кв.м. на сумму более 5,5 млн. руб.</w:t>
      </w:r>
    </w:p>
    <w:p w:rsidR="005E1D6E" w:rsidRPr="003212B0" w:rsidRDefault="005E1D6E" w:rsidP="004E4F04">
      <w:pPr>
        <w:pStyle w:val="a6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оформление и содержание цветников общей площадью более 2,5 тыс. кв.м., оформлено и благоустроено 17 цветников на территории района на сумму в 1,5 млн. руб.</w:t>
      </w:r>
    </w:p>
    <w:p w:rsidR="005E1D6E" w:rsidRPr="003212B0" w:rsidRDefault="005E1D6E" w:rsidP="004E4F04">
      <w:pPr>
        <w:pStyle w:val="a6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санитарная уборка улиц и механизированное выкашивание газонов, общей площадью около 800 тыс. кв.м. на сумму свыше 2  млн. руб.</w:t>
      </w:r>
    </w:p>
    <w:p w:rsidR="005E1D6E" w:rsidRPr="003212B0" w:rsidRDefault="005E1D6E" w:rsidP="004E4F04">
      <w:pPr>
        <w:pStyle w:val="2"/>
        <w:numPr>
          <w:ilvl w:val="0"/>
          <w:numId w:val="2"/>
        </w:numPr>
        <w:spacing w:after="0" w:line="240" w:lineRule="auto"/>
        <w:ind w:left="0"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 благоустройство территории (отремонтировано более 6 тыс. кв.м. асфальтового покрытия </w:t>
      </w:r>
      <w:proofErr w:type="spellStart"/>
      <w:r w:rsidRPr="003212B0">
        <w:rPr>
          <w:sz w:val="24"/>
          <w:szCs w:val="24"/>
        </w:rPr>
        <w:t>внутридворовых</w:t>
      </w:r>
      <w:proofErr w:type="spellEnd"/>
      <w:r w:rsidRPr="003212B0">
        <w:rPr>
          <w:sz w:val="24"/>
          <w:szCs w:val="24"/>
        </w:rPr>
        <w:t xml:space="preserve"> проездов и тротуаров по 21 адресу расположенных в границах района) – на сумму более 3,5 млн. руб. </w:t>
      </w:r>
    </w:p>
    <w:p w:rsidR="005E1D6E" w:rsidRPr="003212B0" w:rsidRDefault="005E1D6E" w:rsidP="004E4F04">
      <w:pPr>
        <w:pStyle w:val="2"/>
        <w:numPr>
          <w:ilvl w:val="0"/>
          <w:numId w:val="2"/>
        </w:numPr>
        <w:spacing w:after="0" w:line="240" w:lineRule="auto"/>
        <w:ind w:left="0"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 </w:t>
      </w:r>
      <w:proofErr w:type="spellStart"/>
      <w:r w:rsidRPr="003212B0">
        <w:rPr>
          <w:sz w:val="24"/>
          <w:szCs w:val="24"/>
        </w:rPr>
        <w:t>грейдирование</w:t>
      </w:r>
      <w:proofErr w:type="spellEnd"/>
      <w:r w:rsidRPr="003212B0">
        <w:rPr>
          <w:sz w:val="24"/>
          <w:szCs w:val="24"/>
        </w:rPr>
        <w:t xml:space="preserve"> более 20 тыс. кв.м. дорог на 21 улице частного сектора с грунтовым покрытием на сумму – 1 млн. руб.</w:t>
      </w:r>
    </w:p>
    <w:p w:rsidR="005E1D6E" w:rsidRPr="003212B0" w:rsidRDefault="005E1D6E" w:rsidP="004E4F04">
      <w:pPr>
        <w:pStyle w:val="a6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выполнены работы по омолаживающей обрезке зеленых насаждений, обрезку осуществили на 540 деревьях на сумму 1,5 млн. руб.</w:t>
      </w:r>
    </w:p>
    <w:p w:rsidR="005E1D6E" w:rsidRPr="003212B0" w:rsidRDefault="005E1D6E" w:rsidP="004E4F04">
      <w:pPr>
        <w:pStyle w:val="a6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по перевозке грузов автомобильным транспортом, общим количеством рейсов – 428 на 1 млн. руб. </w:t>
      </w:r>
    </w:p>
    <w:p w:rsidR="005E1D6E" w:rsidRPr="003212B0" w:rsidRDefault="005E1D6E" w:rsidP="004E4F04">
      <w:pPr>
        <w:pStyle w:val="a6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уборка несанкционированных свалок мусора, всего вывезено 2600 тонн мусора более чем с 80 объектов, расположенных на территории района на сумму свыше 800 тыс. руб.</w:t>
      </w:r>
    </w:p>
    <w:p w:rsidR="005E1D6E" w:rsidRPr="003212B0" w:rsidRDefault="005E1D6E" w:rsidP="004E4F04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Помимо вышеуказанных видов работ были заключены контракты:</w:t>
      </w:r>
    </w:p>
    <w:p w:rsidR="005E1D6E" w:rsidRPr="003212B0" w:rsidRDefault="005E1D6E" w:rsidP="004E4F04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- на  выполнение работ по механизированной уборке улично-дорожной сети на общую сумму более 700 тыс. руб.; </w:t>
      </w:r>
    </w:p>
    <w:p w:rsidR="005E1D6E" w:rsidRPr="003212B0" w:rsidRDefault="005E1D6E" w:rsidP="004E4F04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на выполнение работ по прочистке существующей водоотводной системы протяженностью 212 п.м. на сумму свыше 400 тыс. руб.;</w:t>
      </w:r>
    </w:p>
    <w:p w:rsidR="005E1D6E" w:rsidRPr="003212B0" w:rsidRDefault="005E1D6E" w:rsidP="004E4F04">
      <w:pPr>
        <w:pStyle w:val="2"/>
        <w:spacing w:after="0" w:line="240" w:lineRule="auto"/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- на поставку хозяйственного инвентаря для проведения субботников на территории Советского района города Челябинска, всего приобретено около 3 тыс. единиц инвентаря на сумму более 100 тыс. руб.</w:t>
      </w:r>
    </w:p>
    <w:p w:rsidR="005E1D6E" w:rsidRPr="003212B0" w:rsidRDefault="005E1D6E" w:rsidP="004E4F04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Также в период с января по июнь 2016 года, до проведения аукциона на заключение контракта по благоустройству территории  района, администрацией района были заключены договоры с подрядными организациями на выполнение работ по механизированной уборке скверов: в зимний и весенний период на общую сумму 600 тыс. руб. 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В настоящее время в рамках муниципальных контрактов, заключенных за счет собственных средств, администрацией района продолжаются работы по санитарной уборке территории (отчистки от бытового мусора, веток, листьев). </w:t>
      </w:r>
    </w:p>
    <w:p w:rsidR="005E1D6E" w:rsidRPr="003212B0" w:rsidRDefault="005E1D6E" w:rsidP="004E4F04">
      <w:pPr>
        <w:pStyle w:val="a7"/>
        <w:spacing w:before="0" w:beforeAutospacing="0" w:after="0" w:afterAutospacing="0"/>
        <w:ind w:firstLine="567"/>
      </w:pPr>
      <w:r w:rsidRPr="003212B0">
        <w:tab/>
        <w:t xml:space="preserve">Для улучшения условий проживания населения, а также повышения привлекательности города, как для жителей города, так и для его гостей, приоритетными направлениями деятельности администрации района, при реализации денежных средств в размере  30 млн. рублей, выделенных из областного бюджета в целях реализации областной программы «Реальные дела», стали выполнение работ </w:t>
      </w:r>
      <w:proofErr w:type="gramStart"/>
      <w:r w:rsidRPr="003212B0">
        <w:t>по</w:t>
      </w:r>
      <w:proofErr w:type="gramEnd"/>
      <w:r w:rsidRPr="003212B0">
        <w:t>: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1) ремонту асфальтового покрытия дорог - </w:t>
      </w:r>
      <w:proofErr w:type="spellStart"/>
      <w:r w:rsidRPr="003212B0">
        <w:rPr>
          <w:sz w:val="24"/>
          <w:szCs w:val="24"/>
        </w:rPr>
        <w:t>внутридворовых</w:t>
      </w:r>
      <w:proofErr w:type="spellEnd"/>
      <w:r w:rsidRPr="003212B0">
        <w:rPr>
          <w:sz w:val="24"/>
          <w:szCs w:val="24"/>
        </w:rPr>
        <w:t xml:space="preserve"> проездов, тротуаров;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2) </w:t>
      </w:r>
      <w:proofErr w:type="spellStart"/>
      <w:r w:rsidRPr="003212B0">
        <w:rPr>
          <w:sz w:val="24"/>
          <w:szCs w:val="24"/>
        </w:rPr>
        <w:t>грейдированию</w:t>
      </w:r>
      <w:proofErr w:type="spellEnd"/>
      <w:r w:rsidRPr="003212B0">
        <w:rPr>
          <w:sz w:val="24"/>
          <w:szCs w:val="24"/>
        </w:rPr>
        <w:t xml:space="preserve"> дорожного полотна улиц частного сектора с грунтовым покрытием;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3) омолаживающей обрезке зеленых насаждений;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4) монтажу и установке малых архитектурных форм;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5) уборке и вывозу несанкционированных свалок мусора;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</w:p>
    <w:p w:rsidR="005E1D6E" w:rsidRPr="003212B0" w:rsidRDefault="005E1D6E" w:rsidP="004E4F04">
      <w:pPr>
        <w:ind w:firstLine="567"/>
        <w:rPr>
          <w:sz w:val="24"/>
          <w:szCs w:val="24"/>
        </w:rPr>
      </w:pPr>
      <w:proofErr w:type="gramStart"/>
      <w:r w:rsidRPr="003212B0">
        <w:rPr>
          <w:sz w:val="24"/>
          <w:szCs w:val="24"/>
        </w:rPr>
        <w:t>Формирование приоритетных направлений, при распределении областных средств в размере 30 млн. руб., осуществлялось при участии депутатов, Совета депутатов Советского района, по устным и письменным обращениям, заявкам и предложениям жителей Советского района города Челябинска, поступавшим в адрес органов местного самоуправления Советского района и города Челябинска, а также Администрации области, в том числе с использованием Интернет ресурсов.</w:t>
      </w:r>
      <w:proofErr w:type="gramEnd"/>
      <w:r w:rsidRPr="003212B0">
        <w:rPr>
          <w:sz w:val="24"/>
          <w:szCs w:val="24"/>
        </w:rPr>
        <w:t xml:space="preserve"> В результате чего была подготовлена техническая документация, проведены электронные торги и заключено 23 </w:t>
      </w:r>
      <w:proofErr w:type="gramStart"/>
      <w:r w:rsidRPr="003212B0">
        <w:rPr>
          <w:sz w:val="24"/>
          <w:szCs w:val="24"/>
        </w:rPr>
        <w:t>муниципальных</w:t>
      </w:r>
      <w:proofErr w:type="gramEnd"/>
      <w:r w:rsidRPr="003212B0">
        <w:rPr>
          <w:sz w:val="24"/>
          <w:szCs w:val="24"/>
        </w:rPr>
        <w:t xml:space="preserve"> контракта.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 4 млн. руб. были направлены в Управление Администрации города Челябинска по культуре, физической культуре и работе с молодежью для проведения работ по реконструкции стадиона и сквера, расположенного в </w:t>
      </w:r>
      <w:proofErr w:type="spellStart"/>
      <w:r w:rsidRPr="003212B0">
        <w:rPr>
          <w:sz w:val="24"/>
          <w:szCs w:val="24"/>
        </w:rPr>
        <w:t>Новосинеглазово</w:t>
      </w:r>
      <w:proofErr w:type="spellEnd"/>
      <w:r w:rsidRPr="003212B0">
        <w:rPr>
          <w:sz w:val="24"/>
          <w:szCs w:val="24"/>
        </w:rPr>
        <w:t>;</w:t>
      </w:r>
    </w:p>
    <w:p w:rsidR="005E1D6E" w:rsidRPr="003212B0" w:rsidRDefault="005E1D6E" w:rsidP="004E4F04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заключено 6 контрактов на ремонт асфальтового покрытия </w:t>
      </w:r>
      <w:proofErr w:type="spellStart"/>
      <w:r w:rsidRPr="003212B0">
        <w:rPr>
          <w:rFonts w:ascii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проездов – на общую сумму свыше – 8 млн. руб. – отремонтировано более 14 тыс. кв.м. дорожного покрытия по 150 адресам в границах района;</w:t>
      </w:r>
    </w:p>
    <w:p w:rsidR="005E1D6E" w:rsidRPr="003212B0" w:rsidRDefault="005E1D6E" w:rsidP="004E4F04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заключено 2 контракта на </w:t>
      </w:r>
      <w:proofErr w:type="spellStart"/>
      <w:r w:rsidRPr="003212B0">
        <w:rPr>
          <w:rFonts w:ascii="Times New Roman" w:hAnsi="Times New Roman" w:cs="Times New Roman"/>
          <w:sz w:val="24"/>
          <w:szCs w:val="24"/>
          <w:lang w:eastAsia="ru-RU"/>
        </w:rPr>
        <w:t>грейдирование</w:t>
      </w:r>
      <w:proofErr w:type="spellEnd"/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дорожного полотна улиц частного сектора с грунтовым покрытием – на общую сумму более чем – 4 млн. руб. – территория </w:t>
      </w:r>
      <w:proofErr w:type="spellStart"/>
      <w:r w:rsidRPr="003212B0">
        <w:rPr>
          <w:rFonts w:ascii="Times New Roman" w:hAnsi="Times New Roman" w:cs="Times New Roman"/>
          <w:sz w:val="24"/>
          <w:szCs w:val="24"/>
          <w:lang w:eastAsia="ru-RU"/>
        </w:rPr>
        <w:t>грейдирования</w:t>
      </w:r>
      <w:proofErr w:type="spellEnd"/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составила свыше 50 тыс. кв.м.;</w:t>
      </w:r>
    </w:p>
    <w:p w:rsidR="005E1D6E" w:rsidRPr="003212B0" w:rsidRDefault="005E1D6E" w:rsidP="004E4F04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заключено 2 контракта на омолаживающую обрезку зеленых насаждений – на сумму более чем – 2 млн. руб. – в </w:t>
      </w:r>
      <w:proofErr w:type="gramStart"/>
      <w:r w:rsidRPr="003212B0">
        <w:rPr>
          <w:rFonts w:ascii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с чем омолаживающая обрезка произведена более чем на 900 деревьях;</w:t>
      </w:r>
    </w:p>
    <w:p w:rsidR="005E1D6E" w:rsidRPr="003212B0" w:rsidRDefault="005E1D6E" w:rsidP="004E4F04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>заключен контракт на уборку несанкционированных свалок мусора с территории района на общую сумму более чем - 2 млн. руб. – вывезено свыше 4,5 тыс. тонн мусора;</w:t>
      </w:r>
    </w:p>
    <w:p w:rsidR="005E1D6E" w:rsidRPr="003212B0" w:rsidRDefault="005E1D6E" w:rsidP="004E4F04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 монтаж и установка малых архитектурных форм - заключено 4 контракта на сумму более чем – 2 млн. руб. – </w:t>
      </w:r>
      <w:proofErr w:type="gramStart"/>
      <w:r w:rsidRPr="003212B0">
        <w:rPr>
          <w:rFonts w:ascii="Times New Roman" w:hAnsi="Times New Roman" w:cs="Times New Roman"/>
          <w:sz w:val="24"/>
          <w:szCs w:val="24"/>
          <w:lang w:eastAsia="ru-RU"/>
        </w:rPr>
        <w:t>благоустроены</w:t>
      </w:r>
      <w:proofErr w:type="gramEnd"/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более 30 дворовых территорий района, на которых установлено свыше 200 элементов малых форм и конструкций;</w:t>
      </w:r>
    </w:p>
    <w:p w:rsidR="005E1D6E" w:rsidRPr="003212B0" w:rsidRDefault="005E1D6E" w:rsidP="004E4F04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Помимо вышеуказанных направлений администрации района,  заключены контракты на сумму более чем на 1,1 млн. руб. и выполнены работы по следующим видам деятельности: </w:t>
      </w:r>
    </w:p>
    <w:p w:rsidR="005E1D6E" w:rsidRPr="003212B0" w:rsidRDefault="005E1D6E" w:rsidP="004E4F04">
      <w:pPr>
        <w:pStyle w:val="a6"/>
        <w:spacing w:after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- валка сухих деревьев и корчевание пней; </w:t>
      </w:r>
    </w:p>
    <w:p w:rsidR="005E1D6E" w:rsidRPr="003212B0" w:rsidRDefault="005E1D6E" w:rsidP="004E4F04">
      <w:pPr>
        <w:pStyle w:val="a6"/>
        <w:spacing w:after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- оказание услуг на проведение строительного </w:t>
      </w:r>
      <w:proofErr w:type="gramStart"/>
      <w:r w:rsidRPr="003212B0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работ по благоустройству; </w:t>
      </w:r>
    </w:p>
    <w:p w:rsidR="005E1D6E" w:rsidRPr="003212B0" w:rsidRDefault="005E1D6E" w:rsidP="004E4F04">
      <w:pPr>
        <w:pStyle w:val="a6"/>
        <w:spacing w:after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>- обрезка зеленых насаждений в целях обеспечения треугольника видимости дорожных знаков и светофорных объектов;</w:t>
      </w:r>
    </w:p>
    <w:p w:rsidR="005E1D6E" w:rsidRPr="003212B0" w:rsidRDefault="005E1D6E" w:rsidP="004E4F04">
      <w:pPr>
        <w:pStyle w:val="a6"/>
        <w:spacing w:after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организовано 6 парковочных мест с установкой 12 дорожных знаков и с нанесением соответствующей дорожной разметки для </w:t>
      </w:r>
      <w:proofErr w:type="spellStart"/>
      <w:r w:rsidRPr="003212B0">
        <w:rPr>
          <w:rFonts w:ascii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групп населения.</w:t>
      </w:r>
    </w:p>
    <w:p w:rsidR="005E1D6E" w:rsidRPr="003212B0" w:rsidRDefault="005E1D6E" w:rsidP="004E4F04">
      <w:pPr>
        <w:pStyle w:val="a6"/>
        <w:spacing w:after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D6E" w:rsidRPr="003212B0" w:rsidRDefault="005E1D6E" w:rsidP="004E4F04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проведения аукционов образовалась экономия денежных средств в размере 6 млн. руб., из которых была подготовлена техническая документация и проведены электронные торги на заключение муниципальных контрактов </w:t>
      </w:r>
      <w:proofErr w:type="gramStart"/>
      <w:r w:rsidRPr="003212B0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212B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E1D6E" w:rsidRPr="003212B0" w:rsidRDefault="005E1D6E" w:rsidP="004E4F04">
      <w:pPr>
        <w:pStyle w:val="a6"/>
        <w:spacing w:after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D6E" w:rsidRPr="003212B0" w:rsidRDefault="005E1D6E" w:rsidP="004E4F04">
      <w:pPr>
        <w:pStyle w:val="a6"/>
        <w:spacing w:after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- ремонту асфальтового покрытия </w:t>
      </w:r>
      <w:proofErr w:type="spellStart"/>
      <w:r w:rsidRPr="003212B0">
        <w:rPr>
          <w:rFonts w:ascii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3212B0">
        <w:rPr>
          <w:rFonts w:ascii="Times New Roman" w:hAnsi="Times New Roman" w:cs="Times New Roman"/>
          <w:sz w:val="24"/>
          <w:szCs w:val="24"/>
          <w:lang w:eastAsia="ru-RU"/>
        </w:rPr>
        <w:t xml:space="preserve"> проездов 3 контракта – на общую сумму – 5 млн. 230 тыс. руб.;</w:t>
      </w:r>
    </w:p>
    <w:p w:rsidR="005E1D6E" w:rsidRPr="003212B0" w:rsidRDefault="005E1D6E" w:rsidP="004E4F04">
      <w:pPr>
        <w:pStyle w:val="a6"/>
        <w:spacing w:after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>- благоустройство территории Советского района г</w:t>
      </w:r>
      <w:proofErr w:type="gramStart"/>
      <w:r w:rsidRPr="003212B0">
        <w:rPr>
          <w:rFonts w:ascii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3212B0">
        <w:rPr>
          <w:rFonts w:ascii="Times New Roman" w:hAnsi="Times New Roman" w:cs="Times New Roman"/>
          <w:sz w:val="24"/>
          <w:szCs w:val="24"/>
          <w:lang w:eastAsia="ru-RU"/>
        </w:rPr>
        <w:t>елябинска – установка малых архитектурных форм на сумму 137 тыс. руб.;</w:t>
      </w:r>
    </w:p>
    <w:p w:rsidR="005E1D6E" w:rsidRPr="003212B0" w:rsidRDefault="005E1D6E" w:rsidP="004E4F04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12B0">
        <w:rPr>
          <w:rFonts w:ascii="Times New Roman" w:hAnsi="Times New Roman" w:cs="Times New Roman"/>
          <w:sz w:val="24"/>
          <w:szCs w:val="24"/>
          <w:lang w:eastAsia="ru-RU"/>
        </w:rPr>
        <w:t>- механизированную уборку улично-дорожной сети Советского района города Челябинска от снега и наледи в осенне-зимний период 2016 года на сумму 887 тыс. руб.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>В настоящее время в рамках муниципального контракта, заключенного из средств областного бюджета, продолжаются работы по механизированной уборке улично-дорожной сети Советского района от снега и наледи в зимний период.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Исполнение некоторых муниципальных контрактов прошло с определенными трудностями. В частности при исполнении контракта   на уборку несанкционированных свалок мусора подрядчиком были нарушены сроки исполнения контракта, в связи, с чем  подрядчик понес материальную ответственность в соответствии с заключенным муниципальным контрактом в виде уплаты пени за каждый день просрочки. При исполнении двух контрактов на монтаж и установку малых архитектурных форм были нарушены сроки, и условия муниципального контракта в части ненадлежащих технических характеристик установленных элементов малых архитектурных форм, на сегодняшний день  подрядчиками проводится работа по устранению выявленных администрацией района нарушений. Подрядчиком, заключившим контракт по оказанию услуг на проведение строительного </w:t>
      </w:r>
      <w:proofErr w:type="gramStart"/>
      <w:r w:rsidRPr="003212B0">
        <w:rPr>
          <w:sz w:val="24"/>
          <w:szCs w:val="24"/>
        </w:rPr>
        <w:t>контроля за</w:t>
      </w:r>
      <w:proofErr w:type="gramEnd"/>
      <w:r w:rsidRPr="003212B0">
        <w:rPr>
          <w:sz w:val="24"/>
          <w:szCs w:val="24"/>
        </w:rPr>
        <w:t xml:space="preserve"> выполнением работ по благоустройству, также нарушены сроки исполнения обязательств по контракту в связи с тем, что исполнение данного контракта зависит от исполнения контрактов по монтажу и установке малых архитектурных форм.</w:t>
      </w:r>
    </w:p>
    <w:p w:rsidR="005E1D6E" w:rsidRPr="003212B0" w:rsidRDefault="005E1D6E" w:rsidP="004E4F04">
      <w:pPr>
        <w:ind w:firstLine="567"/>
        <w:rPr>
          <w:sz w:val="24"/>
          <w:szCs w:val="24"/>
        </w:rPr>
      </w:pPr>
      <w:r w:rsidRPr="003212B0">
        <w:rPr>
          <w:sz w:val="24"/>
          <w:szCs w:val="24"/>
        </w:rPr>
        <w:t xml:space="preserve">Давая оценку работ по благоустройству надо сказать, что в целом администрации района и совету депутатов удалось осуществить большую программу работ по благоустройству района (включая практически все поселки) в том числе пожелания депутата Государственной думы Литовченко Анатолия Григорьевича, депутатов областного Законодательного Собрания, депутатов Городской думы и районного совета. </w:t>
      </w:r>
    </w:p>
    <w:p w:rsidR="001744CD" w:rsidRPr="005E1D6E" w:rsidRDefault="001744CD" w:rsidP="004E4F04">
      <w:pPr>
        <w:ind w:firstLine="567"/>
        <w:rPr>
          <w:sz w:val="24"/>
          <w:szCs w:val="24"/>
        </w:rPr>
      </w:pPr>
    </w:p>
    <w:sectPr w:rsidR="001744CD" w:rsidRPr="005E1D6E" w:rsidSect="003408A3">
      <w:footerReference w:type="default" r:id="rId7"/>
      <w:footerReference w:type="first" r:id="rId8"/>
      <w:pgSz w:w="11906" w:h="16838"/>
      <w:pgMar w:top="471" w:right="849" w:bottom="426" w:left="1276" w:header="141" w:footer="4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A5" w:rsidRDefault="00ED7DA5" w:rsidP="005E1D6E">
      <w:r>
        <w:separator/>
      </w:r>
    </w:p>
  </w:endnote>
  <w:endnote w:type="continuationSeparator" w:id="0">
    <w:p w:rsidR="00ED7DA5" w:rsidRDefault="00ED7DA5" w:rsidP="005E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B0" w:rsidRPr="003212B0" w:rsidRDefault="003212B0" w:rsidP="003212B0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30.11.2016 № 27/2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27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02</w:t>
    </w:r>
    <w:r>
      <w:rPr>
        <w:rFonts w:ascii="Arial" w:hAnsi="Arial" w:cs="Arial"/>
        <w:sz w:val="12"/>
        <w:szCs w:val="12"/>
        <w:lang w:val="en-US"/>
      </w:rPr>
      <w:t>p</w:t>
    </w:r>
  </w:p>
  <w:p w:rsidR="00534E2E" w:rsidRDefault="003408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A3" w:rsidRPr="003408A3" w:rsidRDefault="003408A3" w:rsidP="003408A3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30.11.2016 № 27/2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27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02</w:t>
    </w:r>
    <w:r>
      <w:rPr>
        <w:rFonts w:ascii="Arial" w:hAnsi="Arial" w:cs="Arial"/>
        <w:sz w:val="12"/>
        <w:szCs w:val="12"/>
        <w:lang w:val="en-US"/>
      </w:rPr>
      <w:t>p</w:t>
    </w:r>
  </w:p>
  <w:p w:rsidR="003408A3" w:rsidRDefault="003408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A5" w:rsidRDefault="00ED7DA5" w:rsidP="005E1D6E">
      <w:r>
        <w:separator/>
      </w:r>
    </w:p>
  </w:footnote>
  <w:footnote w:type="continuationSeparator" w:id="0">
    <w:p w:rsidR="00ED7DA5" w:rsidRDefault="00ED7DA5" w:rsidP="005E1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AED"/>
    <w:multiLevelType w:val="hybridMultilevel"/>
    <w:tmpl w:val="BDE69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18491C"/>
    <w:multiLevelType w:val="hybridMultilevel"/>
    <w:tmpl w:val="E3D87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6E"/>
    <w:rsid w:val="00024B31"/>
    <w:rsid w:val="001744CD"/>
    <w:rsid w:val="00175CC7"/>
    <w:rsid w:val="002B0A7B"/>
    <w:rsid w:val="003212B0"/>
    <w:rsid w:val="003408A3"/>
    <w:rsid w:val="004E4F04"/>
    <w:rsid w:val="005D58C1"/>
    <w:rsid w:val="005E1D6E"/>
    <w:rsid w:val="00665F4E"/>
    <w:rsid w:val="006D7772"/>
    <w:rsid w:val="007331D8"/>
    <w:rsid w:val="009F3370"/>
    <w:rsid w:val="00B03430"/>
    <w:rsid w:val="00BC024B"/>
    <w:rsid w:val="00C403BB"/>
    <w:rsid w:val="00C921B7"/>
    <w:rsid w:val="00CE0005"/>
    <w:rsid w:val="00ED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E"/>
    <w:pPr>
      <w:spacing w:after="0" w:line="240" w:lineRule="auto"/>
      <w:jc w:val="both"/>
    </w:pPr>
    <w:rPr>
      <w:rFonts w:eastAsia="Times New Roman"/>
      <w:strike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D6E"/>
    <w:rPr>
      <w:rFonts w:eastAsia="Times New Roman"/>
      <w:strike w:val="0"/>
      <w:sz w:val="20"/>
      <w:szCs w:val="20"/>
      <w:lang w:eastAsia="ru-RU"/>
    </w:rPr>
  </w:style>
  <w:style w:type="character" w:styleId="a5">
    <w:name w:val="page number"/>
    <w:basedOn w:val="a0"/>
    <w:uiPriority w:val="99"/>
    <w:rsid w:val="005E1D6E"/>
  </w:style>
  <w:style w:type="paragraph" w:styleId="a6">
    <w:name w:val="List Paragraph"/>
    <w:basedOn w:val="a"/>
    <w:uiPriority w:val="99"/>
    <w:qFormat/>
    <w:rsid w:val="005E1D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5E1D6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5E1D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E"/>
    <w:rPr>
      <w:rFonts w:eastAsia="Times New Roman"/>
      <w:strike w:val="0"/>
      <w:sz w:val="20"/>
      <w:szCs w:val="20"/>
      <w:lang w:eastAsia="ru-RU"/>
    </w:rPr>
  </w:style>
  <w:style w:type="paragraph" w:styleId="aa">
    <w:name w:val="No Spacing"/>
    <w:uiPriority w:val="1"/>
    <w:qFormat/>
    <w:rsid w:val="005E1D6E"/>
    <w:pPr>
      <w:spacing w:after="0" w:line="240" w:lineRule="auto"/>
      <w:jc w:val="both"/>
    </w:pPr>
    <w:rPr>
      <w:rFonts w:ascii="Calibri" w:eastAsia="Times New Roman" w:hAnsi="Calibri" w:cs="Calibri"/>
      <w:strike w:val="0"/>
      <w:lang w:eastAsia="ru-RU"/>
    </w:rPr>
  </w:style>
  <w:style w:type="character" w:customStyle="1" w:styleId="FontStyle11">
    <w:name w:val="Font Style11"/>
    <w:basedOn w:val="a0"/>
    <w:uiPriority w:val="99"/>
    <w:rsid w:val="005E1D6E"/>
    <w:rPr>
      <w:rFonts w:ascii="Times New Roman" w:hAnsi="Times New Roman" w:cs="Times New Roman"/>
      <w:spacing w:val="10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5E1D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1D6E"/>
    <w:rPr>
      <w:rFonts w:eastAsia="Times New Roman"/>
      <w:strike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1538</Words>
  <Characters>8771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9</cp:revision>
  <cp:lastPrinted>2016-12-01T04:37:00Z</cp:lastPrinted>
  <dcterms:created xsi:type="dcterms:W3CDTF">2016-11-24T04:16:00Z</dcterms:created>
  <dcterms:modified xsi:type="dcterms:W3CDTF">2016-12-01T04:37:00Z</dcterms:modified>
</cp:coreProperties>
</file>